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67" w:rsidRDefault="00E65967" w:rsidP="00E65967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Додаток 1</w:t>
      </w:r>
    </w:p>
    <w:p w:rsidR="00E65967" w:rsidRDefault="00E65967" w:rsidP="00E65967">
      <w:pPr>
        <w:widowControl w:val="0"/>
        <w:spacing w:line="240" w:lineRule="auto"/>
        <w:ind w:left="4820" w:firstLine="0"/>
        <w:rPr>
          <w:sz w:val="24"/>
          <w:szCs w:val="24"/>
        </w:rPr>
      </w:pPr>
    </w:p>
    <w:p w:rsidR="00E65967" w:rsidRDefault="00E65967" w:rsidP="00B138DF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E65967" w:rsidRDefault="00E65967" w:rsidP="00E65967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 xml:space="preserve">наказ Уманського </w:t>
      </w:r>
      <w:proofErr w:type="spellStart"/>
      <w:r>
        <w:rPr>
          <w:sz w:val="24"/>
          <w:szCs w:val="24"/>
        </w:rPr>
        <w:t>міськрайонного</w:t>
      </w:r>
      <w:proofErr w:type="spellEnd"/>
      <w:r>
        <w:rPr>
          <w:sz w:val="24"/>
          <w:szCs w:val="24"/>
        </w:rPr>
        <w:t xml:space="preserve"> сулу</w:t>
      </w:r>
    </w:p>
    <w:p w:rsidR="00E65967" w:rsidRDefault="00E65967" w:rsidP="00E65967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>Черкаської області</w:t>
      </w:r>
    </w:p>
    <w:p w:rsidR="00E65967" w:rsidRDefault="00E65967" w:rsidP="00E65967">
      <w:pPr>
        <w:tabs>
          <w:tab w:val="left" w:pos="5670"/>
          <w:tab w:val="left" w:pos="6804"/>
        </w:tabs>
        <w:ind w:left="4820"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30.09.2020</w:t>
      </w:r>
      <w:r>
        <w:rPr>
          <w:sz w:val="24"/>
          <w:szCs w:val="24"/>
        </w:rPr>
        <w:t xml:space="preserve"> № 82      </w:t>
      </w:r>
    </w:p>
    <w:p w:rsidR="00E65967" w:rsidRDefault="00E65967" w:rsidP="00E65967">
      <w:pPr>
        <w:jc w:val="center"/>
        <w:rPr>
          <w:b/>
          <w:sz w:val="26"/>
          <w:szCs w:val="26"/>
        </w:rPr>
      </w:pPr>
    </w:p>
    <w:p w:rsidR="00E65967" w:rsidRDefault="00E65967" w:rsidP="00E659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65967" w:rsidRDefault="00E65967" w:rsidP="00E659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добір </w:t>
      </w:r>
      <w:r>
        <w:rPr>
          <w:b/>
          <w:color w:val="000000" w:themeColor="text1"/>
          <w:sz w:val="24"/>
          <w:szCs w:val="24"/>
        </w:rPr>
        <w:t>на період дії карантину</w:t>
      </w:r>
    </w:p>
    <w:p w:rsidR="00E65967" w:rsidRDefault="00E65967" w:rsidP="00E65967">
      <w:pPr>
        <w:jc w:val="center"/>
        <w:rPr>
          <w:b/>
          <w:sz w:val="26"/>
          <w:szCs w:val="26"/>
        </w:rPr>
      </w:pPr>
    </w:p>
    <w:tbl>
      <w:tblPr>
        <w:tblStyle w:val="a4"/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121"/>
        <w:gridCol w:w="6666"/>
      </w:tblGrid>
      <w:tr w:rsidR="00E65967" w:rsidTr="00ED6CB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Уманського </w:t>
            </w:r>
            <w:proofErr w:type="spellStart"/>
            <w:r>
              <w:rPr>
                <w:sz w:val="24"/>
                <w:szCs w:val="24"/>
              </w:rPr>
              <w:t>міськрайонного</w:t>
            </w:r>
            <w:proofErr w:type="spellEnd"/>
            <w:r>
              <w:rPr>
                <w:sz w:val="24"/>
                <w:szCs w:val="24"/>
              </w:rPr>
              <w:t xml:space="preserve"> суду Черкаської області, категорія «В»</w:t>
            </w:r>
          </w:p>
        </w:tc>
      </w:tr>
      <w:tr w:rsidR="00E65967" w:rsidTr="00ED6CB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Посадові обов’язки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Pr="006B249A" w:rsidRDefault="00E65967" w:rsidP="00ED6CBE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0"/>
              <w:rPr>
                <w:rFonts w:eastAsia="HG Mincho Light J"/>
                <w:color w:val="000000"/>
                <w:sz w:val="24"/>
                <w:szCs w:val="24"/>
                <w:lang w:val="ru-RU"/>
              </w:rPr>
            </w:pPr>
            <w:r w:rsidRPr="006B249A">
              <w:rPr>
                <w:rFonts w:eastAsia="HG Mincho Light J"/>
                <w:color w:val="000000"/>
                <w:sz w:val="24"/>
                <w:szCs w:val="24"/>
              </w:rPr>
              <w:t xml:space="preserve">- </w:t>
            </w:r>
            <w:r w:rsidRPr="006B249A">
              <w:rPr>
                <w:rFonts w:eastAsia="HG Mincho Light J"/>
                <w:color w:val="000000"/>
                <w:spacing w:val="3"/>
                <w:sz w:val="24"/>
                <w:szCs w:val="24"/>
              </w:rPr>
              <w:t>проводить  узагальнення роботи  суду;</w:t>
            </w:r>
          </w:p>
          <w:p w:rsidR="00E65967" w:rsidRPr="006B249A" w:rsidRDefault="00E65967" w:rsidP="00ED6CBE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0"/>
              <w:rPr>
                <w:rFonts w:eastAsia="HG Mincho Light J"/>
                <w:color w:val="000000"/>
                <w:sz w:val="24"/>
                <w:szCs w:val="24"/>
              </w:rPr>
            </w:pPr>
            <w:r w:rsidRPr="006B249A">
              <w:rPr>
                <w:rFonts w:eastAsia="HG Mincho Light J"/>
                <w:color w:val="000000"/>
                <w:spacing w:val="2"/>
                <w:sz w:val="24"/>
                <w:szCs w:val="24"/>
              </w:rPr>
              <w:t>- к</w:t>
            </w:r>
            <w:r w:rsidRPr="006B249A">
              <w:rPr>
                <w:rFonts w:eastAsia="HG Mincho Light J"/>
                <w:color w:val="000000"/>
                <w:spacing w:val="6"/>
                <w:sz w:val="24"/>
                <w:szCs w:val="24"/>
              </w:rPr>
              <w:t>оординує роботу по передачі до архіву суду справ цивільного та адміністративно</w:t>
            </w:r>
            <w:r>
              <w:rPr>
                <w:rFonts w:eastAsia="HG Mincho Light J"/>
                <w:color w:val="000000"/>
                <w:spacing w:val="6"/>
                <w:sz w:val="24"/>
                <w:szCs w:val="24"/>
              </w:rPr>
              <w:t xml:space="preserve">го судочинства, надає методичну та практичну </w:t>
            </w:r>
            <w:r w:rsidRPr="006B249A">
              <w:rPr>
                <w:rFonts w:eastAsia="HG Mincho Light J"/>
                <w:color w:val="000000"/>
                <w:sz w:val="24"/>
                <w:szCs w:val="24"/>
              </w:rPr>
              <w:t>допомогу;</w:t>
            </w:r>
          </w:p>
          <w:p w:rsidR="00E65967" w:rsidRPr="006B249A" w:rsidRDefault="00E65967" w:rsidP="00ED6CBE">
            <w:pPr>
              <w:widowControl w:val="0"/>
              <w:tabs>
                <w:tab w:val="left" w:pos="1086"/>
              </w:tabs>
              <w:spacing w:line="274" w:lineRule="exact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 w:rsidRPr="006B249A">
              <w:rPr>
                <w:rFonts w:eastAsiaTheme="minorHAnsi"/>
                <w:bCs/>
                <w:iCs/>
                <w:spacing w:val="1"/>
                <w:sz w:val="24"/>
                <w:szCs w:val="24"/>
                <w:lang w:val="ru-RU" w:eastAsia="en-US"/>
              </w:rPr>
              <w:t xml:space="preserve">-  </w:t>
            </w:r>
            <w:r w:rsidRPr="006B249A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веде аналітичну роботу з </w:t>
            </w:r>
            <w:proofErr w:type="gramStart"/>
            <w:r w:rsidRPr="006B249A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р</w:t>
            </w:r>
            <w:proofErr w:type="gramEnd"/>
            <w:r w:rsidRPr="006B249A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ізних напрямів діяльності суду; </w:t>
            </w:r>
          </w:p>
          <w:p w:rsidR="00E65967" w:rsidRPr="006B249A" w:rsidRDefault="00E65967" w:rsidP="00ED6CBE">
            <w:pPr>
              <w:widowControl w:val="0"/>
              <w:tabs>
                <w:tab w:val="left" w:pos="1086"/>
              </w:tabs>
              <w:spacing w:line="274" w:lineRule="exact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 w:rsidRPr="006B249A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- проводить узагальнення роботи суду по запитам;</w:t>
            </w:r>
          </w:p>
          <w:p w:rsidR="00E65967" w:rsidRPr="006B249A" w:rsidRDefault="00E65967" w:rsidP="00ED6CBE">
            <w:pPr>
              <w:widowControl w:val="0"/>
              <w:tabs>
                <w:tab w:val="left" w:pos="1086"/>
              </w:tabs>
              <w:spacing w:line="274" w:lineRule="exact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 w:rsidRPr="006B249A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- проводить ознайомлення суддів та працівників апарату з інформаційними листами, що надходять до суду;</w:t>
            </w:r>
          </w:p>
          <w:p w:rsidR="00E65967" w:rsidRPr="006B249A" w:rsidRDefault="00E65967" w:rsidP="00ED6CBE">
            <w:pPr>
              <w:widowControl w:val="0"/>
              <w:tabs>
                <w:tab w:val="left" w:pos="1086"/>
              </w:tabs>
              <w:spacing w:line="274" w:lineRule="exact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 w:rsidRPr="006B249A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- здійснює облік звернень громадян та юридичних осіб, розглядає звернення та готує проекти відповідей на них, проводить аналіз роботи суду по зверненням громадян;</w:t>
            </w:r>
          </w:p>
          <w:p w:rsidR="00E65967" w:rsidRPr="006B249A" w:rsidRDefault="00E65967" w:rsidP="00ED6CBE">
            <w:pPr>
              <w:widowControl w:val="0"/>
              <w:tabs>
                <w:tab w:val="left" w:pos="1086"/>
              </w:tabs>
              <w:spacing w:line="274" w:lineRule="exact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 w:rsidRPr="006B249A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- здійснює облік публічних запитів громадян та юридичних осіб, розглядає публічні запити та готує проекти відповідей на них, проводить аналіз роботи суду з розгляду публічних запитів.</w:t>
            </w:r>
          </w:p>
          <w:p w:rsidR="00E65967" w:rsidRDefault="00E65967" w:rsidP="00ED6CBE">
            <w:pPr>
              <w:pStyle w:val="a3"/>
              <w:tabs>
                <w:tab w:val="left" w:pos="431"/>
              </w:tabs>
              <w:spacing w:before="0"/>
              <w:ind w:firstLine="0"/>
              <w:rPr>
                <w:sz w:val="24"/>
                <w:szCs w:val="24"/>
              </w:rPr>
            </w:pPr>
            <w:r w:rsidRPr="006B249A">
              <w:rPr>
                <w:rFonts w:eastAsia="HG Mincho Light J"/>
                <w:color w:val="000000"/>
                <w:sz w:val="24"/>
                <w:szCs w:val="24"/>
              </w:rPr>
              <w:t xml:space="preserve">- виконує інші доручення </w:t>
            </w:r>
            <w:r w:rsidRPr="006B249A">
              <w:rPr>
                <w:rFonts w:eastAsia="HG Mincho Light J"/>
                <w:color w:val="000000"/>
                <w:spacing w:val="4"/>
                <w:sz w:val="24"/>
                <w:szCs w:val="24"/>
              </w:rPr>
              <w:t xml:space="preserve">голови  суду,  керівника  апарату  суду  </w:t>
            </w:r>
            <w:r w:rsidRPr="006B249A">
              <w:rPr>
                <w:rFonts w:eastAsia="HG Mincho Light J"/>
                <w:color w:val="000000"/>
                <w:sz w:val="24"/>
                <w:szCs w:val="24"/>
              </w:rPr>
              <w:t>щодо організації роботи канцелярії суду.</w:t>
            </w:r>
            <w:r w:rsidRPr="006B249A">
              <w:rPr>
                <w:rFonts w:eastAsia="HG Mincho Light J"/>
                <w:sz w:val="24"/>
                <w:szCs w:val="24"/>
              </w:rPr>
              <w:t xml:space="preserve"> </w:t>
            </w:r>
          </w:p>
        </w:tc>
      </w:tr>
      <w:tr w:rsidR="00E65967" w:rsidTr="00ED6CB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Умови оплати праці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посадовий оклад – 4250 гривень;</w:t>
            </w:r>
          </w:p>
          <w:p w:rsidR="00E65967" w:rsidRDefault="00E65967" w:rsidP="00ED6C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надбавки, доплати та премії відповідно до статті 52 Закону України «Про державну службу»</w:t>
            </w:r>
          </w:p>
        </w:tc>
      </w:tr>
      <w:tr w:rsidR="00E65967" w:rsidTr="00ED6CB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Укладення контракту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E65967" w:rsidTr="00ED6CB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через Єдиний портал вакансій державної служби наступну інформацію:</w:t>
            </w:r>
          </w:p>
          <w:p w:rsidR="00E65967" w:rsidRDefault="00E65967" w:rsidP="00ED6C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             2020 року № 290 (далі – Порядок);</w:t>
            </w:r>
          </w:p>
          <w:p w:rsidR="00E65967" w:rsidRDefault="00E65967" w:rsidP="00ED6C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E65967" w:rsidRDefault="00E65967" w:rsidP="00ED6C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3) заяву (з додатками – копії паспорта та ідентифікаційного номера), в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E65967" w:rsidRDefault="00E65967" w:rsidP="00ED6C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E65967" w:rsidRDefault="00E65967" w:rsidP="00ED6CBE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На електронні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:rsidR="00E65967" w:rsidRDefault="00E65967" w:rsidP="00ED6CB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Інформація приймається </w:t>
            </w:r>
            <w:r>
              <w:rPr>
                <w:rStyle w:val="docdata"/>
                <w:color w:val="000000"/>
                <w:sz w:val="24"/>
                <w:szCs w:val="24"/>
              </w:rPr>
              <w:t>через Єдиний портал вакансій державної служби НАДС</w:t>
            </w:r>
            <w:r>
              <w:rPr>
                <w:b/>
                <w:sz w:val="24"/>
                <w:szCs w:val="24"/>
              </w:rPr>
              <w:t xml:space="preserve"> до 17 години  07 жовтня  2020 року включно.</w:t>
            </w:r>
            <w:r>
              <w:rPr>
                <w:sz w:val="24"/>
                <w:szCs w:val="24"/>
              </w:rPr>
              <w:t xml:space="preserve"> </w:t>
            </w:r>
          </w:p>
          <w:p w:rsidR="00E65967" w:rsidRDefault="00E65967" w:rsidP="00ED6CBE">
            <w:pPr>
              <w:pStyle w:val="a3"/>
              <w:spacing w:before="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65967" w:rsidTr="00ED6CB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7" w:rsidRDefault="00E65967" w:rsidP="00ED6C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Дудник Наталія Віталіївна, </w:t>
            </w:r>
          </w:p>
          <w:p w:rsidR="00E65967" w:rsidRDefault="00E65967" w:rsidP="00ED6C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(047 44) 3-57-77,</w:t>
            </w:r>
          </w:p>
          <w:p w:rsidR="00E65967" w:rsidRPr="00B73E80" w:rsidRDefault="00E65967" w:rsidP="00ED6C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5" w:history="1">
              <w:r w:rsidRPr="006B249A">
                <w:rPr>
                  <w:sz w:val="24"/>
                  <w:szCs w:val="24"/>
                  <w:u w:val="single"/>
                  <w:lang w:val="en-US"/>
                </w:rPr>
                <w:t>inbox</w:t>
              </w:r>
              <w:r w:rsidRPr="00E65967">
                <w:rPr>
                  <w:sz w:val="24"/>
                  <w:szCs w:val="24"/>
                  <w:u w:val="single"/>
                  <w:lang w:val="ru-RU"/>
                </w:rPr>
                <w:t>@</w:t>
              </w:r>
              <w:r w:rsidRPr="006B249A">
                <w:rPr>
                  <w:sz w:val="24"/>
                  <w:szCs w:val="24"/>
                  <w:u w:val="single"/>
                  <w:lang w:val="en-US"/>
                </w:rPr>
                <w:t>um</w:t>
              </w:r>
              <w:r w:rsidRPr="00E65967">
                <w:rPr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249A">
                <w:rPr>
                  <w:sz w:val="24"/>
                  <w:szCs w:val="24"/>
                  <w:u w:val="single"/>
                  <w:lang w:val="en-US"/>
                </w:rPr>
                <w:t>ck</w:t>
              </w:r>
              <w:proofErr w:type="spellEnd"/>
              <w:r w:rsidRPr="00E65967">
                <w:rPr>
                  <w:sz w:val="24"/>
                  <w:szCs w:val="24"/>
                  <w:u w:val="single"/>
                  <w:lang w:val="ru-RU"/>
                </w:rPr>
                <w:t>.</w:t>
              </w:r>
              <w:r w:rsidRPr="006B249A">
                <w:rPr>
                  <w:sz w:val="24"/>
                  <w:szCs w:val="24"/>
                  <w:u w:val="single"/>
                  <w:lang w:val="en-US"/>
                </w:rPr>
                <w:t>court</w:t>
              </w:r>
              <w:r w:rsidRPr="00E65967">
                <w:rPr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249A">
                <w:rPr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E65967">
                <w:rPr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249A">
                <w:rPr>
                  <w:sz w:val="24"/>
                  <w:szCs w:val="24"/>
                  <w:u w:val="single"/>
                  <w:lang w:val="en-US"/>
                </w:rPr>
                <w:t>ua</w:t>
              </w:r>
              <w:proofErr w:type="spellEnd"/>
            </w:hyperlink>
          </w:p>
          <w:p w:rsidR="00E65967" w:rsidRDefault="00E65967" w:rsidP="00ED6CBE">
            <w:pPr>
              <w:ind w:firstLine="0"/>
              <w:rPr>
                <w:sz w:val="24"/>
                <w:szCs w:val="24"/>
              </w:rPr>
            </w:pPr>
          </w:p>
        </w:tc>
      </w:tr>
      <w:tr w:rsidR="00E65967" w:rsidTr="00ED6CBE">
        <w:tc>
          <w:tcPr>
            <w:tcW w:w="10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Загальні вимоги</w:t>
            </w:r>
          </w:p>
        </w:tc>
      </w:tr>
      <w:tr w:rsidR="00E65967" w:rsidTr="00ED6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Освіта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ступінь вищої освіти не нижче молодшого бакалавра або бакалавра за спеціальністю  «Правознавство»  або  «Правоохоронна діяльність»</w:t>
            </w:r>
            <w:r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</w:tc>
      </w:tr>
      <w:tr w:rsidR="00E65967" w:rsidTr="00ED6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Досвід роботи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вимог щодо стажу роботи </w:t>
            </w:r>
          </w:p>
        </w:tc>
      </w:tr>
      <w:tr w:rsidR="00E65967" w:rsidTr="00ED6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Володіння державною мовою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67" w:rsidRDefault="00E65967" w:rsidP="00ED6C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E65967" w:rsidRDefault="00E65967" w:rsidP="00E65967">
      <w:pPr>
        <w:pStyle w:val="a3"/>
        <w:rPr>
          <w:sz w:val="2"/>
          <w:szCs w:val="2"/>
        </w:rPr>
      </w:pPr>
    </w:p>
    <w:p w:rsidR="00075404" w:rsidRDefault="00B138DF"/>
    <w:sectPr w:rsidR="000754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68"/>
    <w:rsid w:val="00203578"/>
    <w:rsid w:val="003D6768"/>
    <w:rsid w:val="00B138DF"/>
    <w:rsid w:val="00D62DB1"/>
    <w:rsid w:val="00E6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67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65967"/>
    <w:pPr>
      <w:spacing w:before="120"/>
      <w:ind w:firstLine="567"/>
    </w:pPr>
  </w:style>
  <w:style w:type="paragraph" w:customStyle="1" w:styleId="Default">
    <w:name w:val="Default"/>
    <w:rsid w:val="00E6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E65967"/>
  </w:style>
  <w:style w:type="table" w:styleId="a4">
    <w:name w:val="Table Grid"/>
    <w:basedOn w:val="a1"/>
    <w:rsid w:val="00E6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67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65967"/>
    <w:pPr>
      <w:spacing w:before="120"/>
      <w:ind w:firstLine="567"/>
    </w:pPr>
  </w:style>
  <w:style w:type="paragraph" w:customStyle="1" w:styleId="Default">
    <w:name w:val="Default"/>
    <w:rsid w:val="00E6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E65967"/>
  </w:style>
  <w:style w:type="table" w:styleId="a4">
    <w:name w:val="Table Grid"/>
    <w:basedOn w:val="a1"/>
    <w:rsid w:val="00E6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box@um.ck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</dc:creator>
  <cp:keywords/>
  <dc:description/>
  <cp:lastModifiedBy>Дудник</cp:lastModifiedBy>
  <cp:revision>4</cp:revision>
  <dcterms:created xsi:type="dcterms:W3CDTF">2020-09-30T12:10:00Z</dcterms:created>
  <dcterms:modified xsi:type="dcterms:W3CDTF">2020-10-01T06:13:00Z</dcterms:modified>
</cp:coreProperties>
</file>